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酸值</w:t>
      </w:r>
      <w:r>
        <w:rPr>
          <w:rFonts w:hint="eastAsia" w:ascii="黑体" w:eastAsia="黑体"/>
          <w:sz w:val="32"/>
          <w:szCs w:val="32"/>
          <w:lang w:eastAsia="zh-CN" w:bidi="ar"/>
        </w:rPr>
        <w:t>（</w:t>
      </w:r>
      <w:r>
        <w:rPr>
          <w:rFonts w:hint="eastAsia" w:ascii="黑体" w:eastAsia="黑体"/>
          <w:sz w:val="32"/>
          <w:szCs w:val="32"/>
          <w:lang w:bidi="ar"/>
        </w:rPr>
        <w:t>KOH</w:t>
      </w:r>
      <w:r>
        <w:rPr>
          <w:rFonts w:hint="eastAsia" w:ascii="黑体" w:eastAsia="黑体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黑体" w:eastAsia="黑体"/>
          <w:sz w:val="32"/>
          <w:szCs w:val="32"/>
          <w:lang w:val="en-US" w:eastAsia="zh-CN" w:bidi="ar"/>
        </w:rPr>
      </w:pPr>
      <w:r>
        <w:rPr>
          <w:rFonts w:eastAsia="仿宋_GB2312"/>
          <w:sz w:val="32"/>
          <w:szCs w:val="32"/>
        </w:rPr>
        <w:t>酸值主要反映油脂酸败程度。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《菜籽油》（GB/T 1536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2004）中规定，一级压榨成品菜籽油、浸出成品菜籽油的酸值（KOH）限值为≤0.20mg/g。造成酸值不合格的主要原因是</w:t>
      </w:r>
      <w:r>
        <w:rPr>
          <w:rFonts w:eastAsia="仿宋_GB2312"/>
          <w:sz w:val="32"/>
          <w:szCs w:val="32"/>
        </w:rPr>
        <w:t>原料采购上把关不严、生产工艺不达标、产品储藏条件不当，特别是在夏季，受气候环境影响因素更大，易导致食品中脂肪的氧化酸败。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亚硝酸盐</w:t>
      </w:r>
      <w:r>
        <w:rPr>
          <w:rFonts w:hint="eastAsia" w:ascii="黑体" w:eastAsia="黑体"/>
          <w:sz w:val="32"/>
          <w:szCs w:val="32"/>
          <w:lang w:eastAsia="zh-CN" w:bidi="ar"/>
        </w:rPr>
        <w:t>（</w:t>
      </w:r>
      <w:r>
        <w:rPr>
          <w:rFonts w:hint="eastAsia" w:ascii="黑体" w:eastAsia="黑体"/>
          <w:sz w:val="32"/>
          <w:szCs w:val="32"/>
          <w:lang w:bidi="ar"/>
        </w:rPr>
        <w:t>以NO</w:t>
      </w:r>
      <w:r>
        <w:rPr>
          <w:rFonts w:hint="eastAsia" w:ascii="黑体" w:eastAsia="黑体"/>
          <w:b/>
          <w:bCs/>
          <w:sz w:val="32"/>
          <w:szCs w:val="32"/>
          <w:vertAlign w:val="subscript"/>
          <w:lang w:bidi="ar"/>
        </w:rPr>
        <w:t>2</w:t>
      </w:r>
      <w:r>
        <w:rPr>
          <w:rFonts w:hint="eastAsia" w:ascii="黑体" w:eastAsia="黑体"/>
          <w:b/>
          <w:bCs/>
          <w:sz w:val="36"/>
          <w:szCs w:val="36"/>
          <w:vertAlign w:val="superscript"/>
          <w:lang w:bidi="ar"/>
        </w:rPr>
        <w:t>-</w:t>
      </w:r>
      <w:r>
        <w:rPr>
          <w:rFonts w:hint="eastAsia" w:ascii="黑体" w:eastAsia="黑体"/>
          <w:sz w:val="32"/>
          <w:szCs w:val="32"/>
          <w:lang w:bidi="ar"/>
        </w:rPr>
        <w:t>计</w:t>
      </w:r>
      <w:r>
        <w:rPr>
          <w:rFonts w:hint="eastAsia" w:ascii="黑体" w:eastAsia="黑体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亚硝酸盐是强氧化剂。硝酸盐和亚硝酸盐广泛存在于人类环境中，是自然界中最普遍的含氮化合物。《食品安全国家标准 食品中污染物限量》（GB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2762-2017）中规定，包装饮用水中亚硝酸盐的限量值不超过0.005mg/L。亚硝酸盐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超标的原因可能是，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来自桶装水生产企业的水源污染，水源附近土壤中大量施用硝酸盐肥料等造成硝酸盐含量高，部分硝酸盐在水体微生物的作用下转化为亚硝酸盐；二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生产过程的微生物控制不当，成品水中微生物含量高，将水中硝酸盐转化为亚硝酸盐，造成亚硝酸盐含量超标；三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生产企业使用氯气来消毒,利用氯气（实际上是次氯酸）的氧化性来杀灭水中的微生物,但氯气能将水中的有机胺类氧化为亚硝酸盐。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铜绿假单胞菌</w:t>
      </w:r>
    </w:p>
    <w:p>
      <w:pPr>
        <w:numPr>
          <w:numId w:val="0"/>
        </w:numPr>
        <w:spacing w:line="560" w:lineRule="exact"/>
        <w:ind w:left="0" w:leftChars="0"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铜绿假单胞菌又名绿脓杆菌，是常见的细菌之一，广泛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水、空气、正常人的皮肤、呼吸道和肠道等。对消毒剂、紫外线等具有较强的抵抗力。《食品安全国家标准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包装饮用水》（GB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19298-2014）中规定，在5件包装饮用水样品中，铜绿假单胞菌的检测结果均不得超过0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CFU/250mL。造成饮用纯净水中铜绿假单胞菌不合格原因可能是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一是原料水体受到感染；二是生产过程中卫生控制不严格，杀菌不彻底；三是包装材料清洗消毒不达标。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8F501"/>
    <w:multiLevelType w:val="singleLevel"/>
    <w:tmpl w:val="A018F5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18C1169"/>
    <w:rsid w:val="22EE5E6A"/>
    <w:rsid w:val="24C105FB"/>
    <w:rsid w:val="28926171"/>
    <w:rsid w:val="28FE5380"/>
    <w:rsid w:val="293C4333"/>
    <w:rsid w:val="2A266F86"/>
    <w:rsid w:val="2B453547"/>
    <w:rsid w:val="342C28E6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E8335D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2020-11-18T05:13:03Z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